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w:t>
      </w:r>
      <w:r w:rsidR="00003647">
        <w:rPr>
          <w:rFonts w:ascii="Calibri" w:eastAsia="新細明體" w:hAnsi="Calibri" w:cs="Arial"/>
          <w:noProof w:val="0"/>
          <w:sz w:val="24"/>
          <w:szCs w:val="24"/>
          <w:lang w:eastAsia="ja-JP"/>
        </w:rPr>
        <w:t>1803692</w:t>
      </w:r>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056059">
        <w:rPr>
          <w:rFonts w:cs="Arial"/>
          <w:b/>
          <w:bCs/>
          <w:sz w:val="24"/>
        </w:rPr>
        <w:t>7.2</w:t>
      </w:r>
      <w:bookmarkStart w:id="2" w:name="_GoBack"/>
      <w:r w:rsidR="00056059">
        <w:rPr>
          <w:rFonts w:cs="Arial"/>
          <w:b/>
          <w:bCs/>
          <w:sz w:val="24"/>
        </w:rPr>
        <w:t>.2</w:t>
      </w:r>
      <w:bookmarkEnd w:id="2"/>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5F4CA3" w:rsidRPr="005F4CA3">
        <w:rPr>
          <w:b/>
          <w:bCs/>
          <w:sz w:val="24"/>
          <w:szCs w:val="24"/>
        </w:rPr>
        <w:t>Consideration on TDM and FDM based ULSUP with SUL bands</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66EDA" w:rsidRDefault="00CF4055" w:rsidP="005A0D71">
      <w:pPr>
        <w:jc w:val="both"/>
        <w:rPr>
          <w:sz w:val="20"/>
          <w:szCs w:val="20"/>
          <w:lang w:val="en-GB"/>
        </w:rPr>
      </w:pPr>
      <w:bookmarkStart w:id="3" w:name="OLE_LINK1"/>
      <w:bookmarkStart w:id="4" w:name="OLE_LINK2"/>
      <w:bookmarkStart w:id="5" w:name="OLE_LINK132"/>
      <w:bookmarkStart w:id="6" w:name="OLE_LINK133"/>
      <w:r>
        <w:rPr>
          <w:rFonts w:ascii="Calibri" w:eastAsia="新細明體" w:hAnsi="Calibri" w:cs="Calibri"/>
          <w:color w:val="0D0D0D"/>
          <w:sz w:val="20"/>
          <w:lang w:eastAsia="zh-TW"/>
        </w:rPr>
        <w:t xml:space="preserve">In this paper, </w:t>
      </w:r>
      <w:r w:rsidR="000A0C20">
        <w:rPr>
          <w:rFonts w:ascii="Calibri" w:eastAsia="新細明體" w:hAnsi="Calibri" w:cs="Calibri"/>
          <w:color w:val="0D0D0D"/>
          <w:sz w:val="20"/>
          <w:lang w:eastAsia="zh-TW"/>
        </w:rPr>
        <w:t xml:space="preserve">we discuss the </w:t>
      </w:r>
      <w:r w:rsidR="00EE602F">
        <w:rPr>
          <w:rFonts w:ascii="Calibri" w:eastAsia="新細明體" w:hAnsi="Calibri" w:cs="Calibri"/>
          <w:color w:val="0D0D0D"/>
          <w:sz w:val="20"/>
          <w:lang w:eastAsia="zh-TW"/>
        </w:rPr>
        <w:t>feature “</w:t>
      </w:r>
      <w:r w:rsidR="005F4CA3" w:rsidRPr="005F4CA3">
        <w:rPr>
          <w:rFonts w:ascii="Calibri" w:eastAsia="新細明體" w:hAnsi="Calibri" w:cs="Calibri"/>
          <w:color w:val="0D0D0D"/>
          <w:sz w:val="20"/>
          <w:lang w:eastAsia="zh-TW"/>
        </w:rPr>
        <w:t>Support of EN-DC with LTE-NR coexistence in UL sharing from UE perspective</w:t>
      </w:r>
      <w:r w:rsidR="00EE602F">
        <w:rPr>
          <w:rFonts w:ascii="Calibri" w:eastAsia="新細明體" w:hAnsi="Calibri" w:cs="Calibri"/>
          <w:color w:val="0D0D0D"/>
          <w:sz w:val="20"/>
          <w:lang w:eastAsia="zh-TW"/>
        </w:rPr>
        <w:t>”</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It is agreed in RP#79 [1] that for UpLink sharing from UE perspective (ULSUP)</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w:t>
      </w:r>
      <w:r w:rsidRPr="00E335C8">
        <w:rPr>
          <w:rFonts w:ascii="Calibri" w:eastAsia="SimSun" w:hAnsi="Calibri" w:cs="Calibri"/>
          <w:color w:val="000000"/>
          <w:sz w:val="20"/>
          <w:szCs w:val="20"/>
        </w:rPr>
        <w:t xml:space="preserve"> </w:t>
      </w:r>
      <w:r w:rsidRPr="00E335C8">
        <w:rPr>
          <w:rFonts w:eastAsia="新細明體"/>
          <w:sz w:val="20"/>
          <w:szCs w:val="20"/>
          <w:lang w:eastAsia="zh-TW"/>
        </w:rPr>
        <w:t xml:space="preserve">In Q2 2018, RAN4 will setup the agenda item for ULSUP with SUL band with following sub agenda items. </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                     - TDM based ULSUP with SUL bands</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 xml:space="preserve">                     - FDM based ULSUP with SUL bands </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 xml:space="preserve">For FDM, UE </w:t>
      </w:r>
      <w:r w:rsidR="00CF24B8">
        <w:rPr>
          <w:rFonts w:eastAsia="新細明體"/>
          <w:sz w:val="20"/>
          <w:szCs w:val="20"/>
          <w:lang w:eastAsia="zh-TW"/>
        </w:rPr>
        <w:t>requirements/</w:t>
      </w:r>
      <w:r w:rsidRPr="00E335C8">
        <w:rPr>
          <w:rFonts w:eastAsia="新細明體"/>
          <w:sz w:val="20"/>
          <w:szCs w:val="20"/>
          <w:lang w:eastAsia="zh-TW"/>
        </w:rPr>
        <w:t>implementation</w:t>
      </w:r>
      <w:r w:rsidR="00CF24B8">
        <w:rPr>
          <w:rFonts w:eastAsia="新細明體"/>
          <w:sz w:val="20"/>
          <w:szCs w:val="20"/>
          <w:lang w:eastAsia="zh-TW"/>
        </w:rPr>
        <w:t xml:space="preserve">s could be </w:t>
      </w:r>
      <w:r w:rsidRPr="00E335C8">
        <w:rPr>
          <w:rFonts w:eastAsia="新細明體"/>
          <w:sz w:val="20"/>
          <w:szCs w:val="20"/>
          <w:lang w:eastAsia="zh-TW"/>
        </w:rPr>
        <w:t xml:space="preserve">impacted by at least the following </w:t>
      </w:r>
      <w:r w:rsidR="00CF24B8">
        <w:rPr>
          <w:rFonts w:eastAsia="新細明體"/>
          <w:sz w:val="20"/>
          <w:szCs w:val="20"/>
          <w:lang w:eastAsia="zh-TW"/>
        </w:rPr>
        <w:t>issues</w:t>
      </w:r>
      <w:r w:rsidRPr="00E335C8">
        <w:rPr>
          <w:rFonts w:eastAsia="新細明體"/>
          <w:sz w:val="20"/>
          <w:szCs w:val="20"/>
          <w:lang w:eastAsia="zh-TW"/>
        </w:rPr>
        <w:t>:</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1.</w:t>
      </w:r>
      <w:r w:rsidRPr="00E335C8">
        <w:rPr>
          <w:rFonts w:eastAsia="新細明體"/>
          <w:sz w:val="20"/>
          <w:szCs w:val="20"/>
          <w:lang w:eastAsia="zh-TW"/>
        </w:rPr>
        <w:tab/>
        <w:t>Power back-off due to multi-cluster-like transmissions on one carrier</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2.</w:t>
      </w:r>
      <w:r w:rsidRPr="00E335C8">
        <w:rPr>
          <w:rFonts w:eastAsia="新細明體"/>
          <w:sz w:val="20"/>
          <w:szCs w:val="20"/>
          <w:lang w:eastAsia="zh-TW"/>
        </w:rPr>
        <w:tab/>
        <w:t>Power sharing between LTE/NR</w:t>
      </w:r>
    </w:p>
    <w:p w:rsidR="005F4CA3" w:rsidRPr="00E335C8" w:rsidRDefault="005F4CA3" w:rsidP="005F4CA3">
      <w:pPr>
        <w:jc w:val="both"/>
        <w:rPr>
          <w:rFonts w:eastAsia="新細明體"/>
          <w:sz w:val="20"/>
          <w:szCs w:val="20"/>
          <w:lang w:eastAsia="zh-TW"/>
        </w:rPr>
      </w:pPr>
      <w:r w:rsidRPr="00E335C8">
        <w:rPr>
          <w:rFonts w:eastAsia="新細明體"/>
          <w:sz w:val="20"/>
          <w:szCs w:val="20"/>
          <w:lang w:eastAsia="zh-TW"/>
        </w:rPr>
        <w:t>3.</w:t>
      </w:r>
      <w:r w:rsidRPr="00E335C8">
        <w:rPr>
          <w:rFonts w:eastAsia="新細明體"/>
          <w:sz w:val="20"/>
          <w:szCs w:val="20"/>
          <w:lang w:eastAsia="zh-TW"/>
        </w:rPr>
        <w:tab/>
        <w:t>IMD due to more than one uplink in a carrier</w:t>
      </w:r>
    </w:p>
    <w:p w:rsidR="008D70C6" w:rsidRPr="00E335C8" w:rsidRDefault="005F4CA3" w:rsidP="005F4CA3">
      <w:pPr>
        <w:jc w:val="both"/>
        <w:rPr>
          <w:rFonts w:eastAsia="新細明體"/>
          <w:sz w:val="20"/>
          <w:szCs w:val="20"/>
          <w:lang w:eastAsia="zh-TW"/>
        </w:rPr>
      </w:pPr>
      <w:r w:rsidRPr="00E335C8">
        <w:rPr>
          <w:rFonts w:eastAsia="新細明體"/>
          <w:sz w:val="20"/>
          <w:szCs w:val="20"/>
          <w:lang w:eastAsia="zh-TW"/>
        </w:rPr>
        <w:t>From RAN4 perspective, therefore, a new feature needs to be introduced in the System parameter group (1-10) for the UE to signal which multiplexing scheme(s) it is capable of supporting.</w:t>
      </w:r>
    </w:p>
    <w:p w:rsidR="005F4CA3" w:rsidRPr="005F4CA3" w:rsidRDefault="00E04CF3" w:rsidP="005F4CA3">
      <w:pPr>
        <w:jc w:val="both"/>
        <w:rPr>
          <w:rFonts w:eastAsia="SimSun" w:cs="Times New Roman"/>
          <w:b/>
          <w:i/>
          <w:lang w:eastAsia="x-none"/>
        </w:rPr>
      </w:pPr>
      <w:bookmarkStart w:id="7" w:name="_Ref509927755"/>
      <w:r w:rsidRPr="00BD6CC4">
        <w:rPr>
          <w:rFonts w:eastAsia="SimSun" w:cs="Times New Roman"/>
          <w:b/>
          <w:i/>
          <w:lang w:eastAsia="x-none"/>
        </w:rPr>
        <w:t xml:space="preserve">Proposal: </w:t>
      </w:r>
      <w:bookmarkEnd w:id="7"/>
      <w:r w:rsidR="005F4CA3">
        <w:rPr>
          <w:b/>
          <w:bCs/>
        </w:rPr>
        <w:t>Introduce a new feature for the signaling of supported multiplexing scheme(s) for UpLink sharing from UE perspective as shown in Table 1</w:t>
      </w:r>
      <w:r w:rsidR="008D70C6">
        <w:rPr>
          <w:rFonts w:eastAsia="SimSun" w:cs="Times New Roman"/>
          <w:b/>
          <w:i/>
          <w:lang w:eastAsia="x-none"/>
        </w:rPr>
        <w:t xml:space="preserve"> </w:t>
      </w:r>
    </w:p>
    <w:p w:rsidR="005F4CA3" w:rsidRPr="00EE602F" w:rsidRDefault="005F4CA3" w:rsidP="005F4CA3">
      <w:pPr>
        <w:pStyle w:val="a5"/>
        <w:jc w:val="center"/>
        <w:rPr>
          <w:rFonts w:eastAsia="新細明體"/>
          <w:lang w:eastAsia="zh-TW"/>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5F4CA3">
        <w:t>Feature for Supplemental uplink in uplink sharing from UE perspective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35"/>
        <w:gridCol w:w="784"/>
        <w:gridCol w:w="830"/>
        <w:gridCol w:w="478"/>
        <w:gridCol w:w="480"/>
        <w:gridCol w:w="905"/>
        <w:gridCol w:w="765"/>
        <w:gridCol w:w="632"/>
        <w:gridCol w:w="632"/>
        <w:gridCol w:w="632"/>
        <w:gridCol w:w="1489"/>
        <w:gridCol w:w="402"/>
        <w:gridCol w:w="564"/>
        <w:gridCol w:w="275"/>
      </w:tblGrid>
      <w:tr w:rsidR="005F4CA3" w:rsidRPr="006521BF" w:rsidTr="002F7C4F">
        <w:trPr>
          <w:trHeight w:val="1337"/>
          <w:jc w:val="center"/>
        </w:trPr>
        <w:tc>
          <w:tcPr>
            <w:tcW w:w="221"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WI</w:t>
            </w:r>
          </w:p>
        </w:tc>
        <w:tc>
          <w:tcPr>
            <w:tcW w:w="174"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w:t>
            </w:r>
          </w:p>
        </w:tc>
        <w:tc>
          <w:tcPr>
            <w:tcW w:w="407"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Feature group</w:t>
            </w:r>
          </w:p>
        </w:tc>
        <w:tc>
          <w:tcPr>
            <w:tcW w:w="431"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Components</w:t>
            </w:r>
          </w:p>
        </w:tc>
        <w:tc>
          <w:tcPr>
            <w:tcW w:w="248"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 xml:space="preserve">Prerequisite feature groups </w:t>
            </w:r>
          </w:p>
        </w:tc>
        <w:tc>
          <w:tcPr>
            <w:tcW w:w="249"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for gNB t</w:t>
            </w:r>
          </w:p>
        </w:tc>
        <w:tc>
          <w:tcPr>
            <w:tcW w:w="470"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Consequences if the feature</w:t>
            </w:r>
            <w:r w:rsidRPr="006521BF">
              <w:rPr>
                <w:rFonts w:ascii="Arial" w:eastAsia="MS PGothic" w:hAnsi="Arial" w:cs="Arial"/>
                <w:color w:val="000000" w:themeColor="text1"/>
                <w:sz w:val="16"/>
                <w:szCs w:val="16"/>
              </w:rPr>
              <w:br/>
              <w:t xml:space="preserve"> is not supported by the UE</w:t>
            </w:r>
          </w:p>
        </w:tc>
        <w:tc>
          <w:tcPr>
            <w:tcW w:w="397"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 xml:space="preserve">Type </w:t>
            </w:r>
          </w:p>
        </w:tc>
        <w:tc>
          <w:tcPr>
            <w:tcW w:w="328" w:type="pct"/>
            <w:shd w:val="clear" w:color="000000" w:fill="A6A6A6"/>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of FDD/TDD differentiation</w:t>
            </w:r>
          </w:p>
        </w:tc>
        <w:tc>
          <w:tcPr>
            <w:tcW w:w="328" w:type="pct"/>
            <w:shd w:val="clear" w:color="000000" w:fill="A6A6A6"/>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of FR1/FR2 differentiation</w:t>
            </w:r>
          </w:p>
        </w:tc>
        <w:tc>
          <w:tcPr>
            <w:tcW w:w="328"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RAN5 implication</w:t>
            </w:r>
          </w:p>
        </w:tc>
        <w:tc>
          <w:tcPr>
            <w:tcW w:w="773"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Remarks</w:t>
            </w:r>
          </w:p>
        </w:tc>
        <w:tc>
          <w:tcPr>
            <w:tcW w:w="209" w:type="pct"/>
            <w:shd w:val="clear" w:color="000000" w:fill="99CC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Responsible WG</w:t>
            </w:r>
          </w:p>
        </w:tc>
        <w:tc>
          <w:tcPr>
            <w:tcW w:w="293" w:type="pct"/>
            <w:shd w:val="clear" w:color="000000" w:fill="FF00FF"/>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Recommendation for TSG-RAN</w:t>
            </w:r>
          </w:p>
        </w:tc>
        <w:tc>
          <w:tcPr>
            <w:tcW w:w="143" w:type="pct"/>
            <w:shd w:val="clear" w:color="000000" w:fill="A6A6A6"/>
            <w:vAlign w:val="center"/>
            <w:hideMark/>
          </w:tcPr>
          <w:p w:rsidR="005F4CA3" w:rsidRPr="006521BF" w:rsidRDefault="005F4CA3"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TSG-RAN decision</w:t>
            </w:r>
          </w:p>
        </w:tc>
      </w:tr>
      <w:tr w:rsidR="005F4CA3" w:rsidRPr="006521BF" w:rsidTr="002F7C4F">
        <w:trPr>
          <w:trHeight w:val="622"/>
          <w:jc w:val="center"/>
        </w:trPr>
        <w:tc>
          <w:tcPr>
            <w:tcW w:w="221"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System parameter</w:t>
            </w:r>
          </w:p>
        </w:tc>
        <w:tc>
          <w:tcPr>
            <w:tcW w:w="174"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hint="eastAsia"/>
                <w:color w:val="000000" w:themeColor="text1"/>
                <w:sz w:val="16"/>
                <w:szCs w:val="16"/>
              </w:rPr>
              <w:t>1</w:t>
            </w:r>
            <w:r w:rsidRPr="00A6001A">
              <w:rPr>
                <w:rFonts w:ascii="Arial" w:eastAsia="MS PGothic" w:hAnsi="Arial" w:cs="Arial"/>
                <w:color w:val="000000" w:themeColor="text1"/>
                <w:sz w:val="16"/>
                <w:szCs w:val="16"/>
              </w:rPr>
              <w:t>-10</w:t>
            </w:r>
            <w:r>
              <w:rPr>
                <w:rFonts w:ascii="Arial" w:eastAsia="MS PGothic" w:hAnsi="Arial" w:cs="Arial"/>
                <w:color w:val="000000" w:themeColor="text1"/>
                <w:sz w:val="16"/>
                <w:szCs w:val="16"/>
              </w:rPr>
              <w:t>a</w:t>
            </w:r>
          </w:p>
        </w:tc>
        <w:tc>
          <w:tcPr>
            <w:tcW w:w="407"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Support of EN-DC with LTE-NR coexistence in UL sharing from UE perspective</w:t>
            </w:r>
          </w:p>
        </w:tc>
        <w:tc>
          <w:tcPr>
            <w:tcW w:w="431" w:type="pct"/>
            <w:shd w:val="clear" w:color="auto" w:fill="auto"/>
            <w:vAlign w:val="center"/>
          </w:tcPr>
          <w:p w:rsidR="005F4CA3" w:rsidRPr="005F4CA3" w:rsidRDefault="005F4CA3" w:rsidP="005F4CA3">
            <w:pPr>
              <w:adjustRightInd w:val="0"/>
              <w:snapToGrid w:val="0"/>
              <w:rPr>
                <w:rFonts w:ascii="Arial" w:eastAsia="MS PGothic" w:hAnsi="Arial" w:cs="Arial"/>
                <w:color w:val="000000" w:themeColor="text1"/>
                <w:sz w:val="16"/>
                <w:szCs w:val="16"/>
              </w:rPr>
            </w:pPr>
            <w:r w:rsidRPr="005F4CA3">
              <w:rPr>
                <w:rFonts w:ascii="Arial" w:eastAsia="MS PGothic" w:hAnsi="Arial" w:cs="Arial"/>
                <w:color w:val="000000" w:themeColor="text1"/>
                <w:sz w:val="16"/>
                <w:szCs w:val="16"/>
              </w:rPr>
              <w:t>1) TDM based</w:t>
            </w:r>
          </w:p>
          <w:p w:rsidR="005F4CA3" w:rsidRPr="00A6001A" w:rsidRDefault="005F4CA3" w:rsidP="005F4CA3">
            <w:pPr>
              <w:adjustRightInd w:val="0"/>
              <w:snapToGrid w:val="0"/>
              <w:rPr>
                <w:rFonts w:ascii="Arial" w:eastAsia="MS PGothic" w:hAnsi="Arial" w:cs="Arial"/>
                <w:color w:val="000000" w:themeColor="text1"/>
                <w:sz w:val="16"/>
                <w:szCs w:val="16"/>
              </w:rPr>
            </w:pPr>
            <w:r w:rsidRPr="005F4CA3">
              <w:rPr>
                <w:rFonts w:ascii="Arial" w:eastAsia="MS PGothic" w:hAnsi="Arial" w:cs="Arial"/>
                <w:color w:val="000000" w:themeColor="text1"/>
                <w:sz w:val="16"/>
                <w:szCs w:val="16"/>
              </w:rPr>
              <w:t>2) FDM based</w:t>
            </w:r>
          </w:p>
        </w:tc>
        <w:tc>
          <w:tcPr>
            <w:tcW w:w="248"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249"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470"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397" w:type="pct"/>
            <w:shd w:val="clear" w:color="auto" w:fill="auto"/>
            <w:vAlign w:val="center"/>
          </w:tcPr>
          <w:p w:rsidR="005F4CA3" w:rsidRPr="00A6001A" w:rsidRDefault="005F4CA3" w:rsidP="002F7C4F">
            <w:pPr>
              <w:adjustRightInd w:val="0"/>
              <w:snapToGrid w:val="0"/>
              <w:rPr>
                <w:rFonts w:ascii="Arial" w:eastAsia="MS PGothic" w:hAnsi="Arial" w:cs="Arial"/>
                <w:strike/>
                <w:color w:val="000000" w:themeColor="text1"/>
                <w:sz w:val="16"/>
                <w:szCs w:val="16"/>
              </w:rPr>
            </w:pPr>
            <w:r w:rsidRPr="00A6001A">
              <w:rPr>
                <w:rFonts w:ascii="Arial" w:eastAsia="MS PGothic" w:hAnsi="Arial" w:cs="Arial"/>
                <w:color w:val="000000" w:themeColor="text1"/>
                <w:sz w:val="16"/>
                <w:szCs w:val="16"/>
              </w:rPr>
              <w:t>Type 3 (per band combination)</w:t>
            </w:r>
          </w:p>
        </w:tc>
        <w:tc>
          <w:tcPr>
            <w:tcW w:w="328"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No Need</w:t>
            </w:r>
          </w:p>
        </w:tc>
        <w:tc>
          <w:tcPr>
            <w:tcW w:w="328" w:type="pct"/>
            <w:shd w:val="clear" w:color="auto" w:fill="auto"/>
            <w:noWrap/>
            <w:vAlign w:val="center"/>
          </w:tcPr>
          <w:p w:rsidR="005F4CA3" w:rsidRPr="00A6001A" w:rsidRDefault="005F4CA3"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Applicable only to FR1</w:t>
            </w:r>
          </w:p>
        </w:tc>
        <w:tc>
          <w:tcPr>
            <w:tcW w:w="328"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773" w:type="pct"/>
            <w:shd w:val="clear" w:color="auto" w:fill="auto"/>
            <w:vAlign w:val="center"/>
          </w:tcPr>
          <w:p w:rsidR="005F4CA3" w:rsidRPr="00A6001A" w:rsidRDefault="005F4CA3" w:rsidP="002F7C4F">
            <w:pPr>
              <w:snapToGrid w:val="0"/>
              <w:rPr>
                <w:rFonts w:ascii="Arial" w:eastAsia="MS PGothic" w:hAnsi="Arial" w:cs="Arial"/>
                <w:color w:val="000000" w:themeColor="text1"/>
                <w:sz w:val="16"/>
                <w:szCs w:val="16"/>
              </w:rPr>
            </w:pPr>
          </w:p>
        </w:tc>
        <w:tc>
          <w:tcPr>
            <w:tcW w:w="209"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293" w:type="pct"/>
            <w:shd w:val="clear" w:color="auto" w:fill="auto"/>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c>
          <w:tcPr>
            <w:tcW w:w="143" w:type="pct"/>
            <w:shd w:val="clear" w:color="auto" w:fill="auto"/>
            <w:noWrap/>
            <w:vAlign w:val="center"/>
          </w:tcPr>
          <w:p w:rsidR="005F4CA3" w:rsidRPr="00A6001A" w:rsidRDefault="005F4CA3" w:rsidP="002F7C4F">
            <w:pPr>
              <w:adjustRightInd w:val="0"/>
              <w:snapToGrid w:val="0"/>
              <w:rPr>
                <w:rFonts w:ascii="Arial" w:eastAsia="MS PGothic" w:hAnsi="Arial" w:cs="Arial"/>
                <w:color w:val="000000" w:themeColor="text1"/>
                <w:sz w:val="16"/>
                <w:szCs w:val="16"/>
              </w:rPr>
            </w:pPr>
          </w:p>
        </w:tc>
      </w:tr>
    </w:tbl>
    <w:p w:rsidR="005F4CA3" w:rsidRPr="005F4CA3" w:rsidRDefault="005F4CA3" w:rsidP="005F4CA3">
      <w:pPr>
        <w:jc w:val="both"/>
        <w:rPr>
          <w:rFonts w:eastAsia="SimSun" w:cs="Times New Roman"/>
          <w:b/>
          <w:i/>
          <w:lang w:eastAsia="x-none"/>
        </w:rPr>
      </w:pPr>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27C3" w:rsidRDefault="00085372" w:rsidP="00AF27C3">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3"/>
      <w:bookmarkEnd w:id="4"/>
      <w:bookmarkEnd w:id="5"/>
      <w:bookmarkEnd w:id="6"/>
      <w:r w:rsidR="00CB5FB6">
        <w:rPr>
          <w:rFonts w:ascii="Calibri" w:eastAsia="新細明體" w:hAnsi="Calibri" w:cs="Calibri"/>
          <w:color w:val="0D0D0D"/>
          <w:sz w:val="20"/>
          <w:lang w:eastAsia="zh-TW"/>
        </w:rPr>
        <w:t xml:space="preserve"> </w:t>
      </w:r>
      <w:r w:rsidR="00902288">
        <w:rPr>
          <w:rFonts w:ascii="Calibri" w:eastAsia="新細明體" w:hAnsi="Calibri" w:cs="Calibri"/>
          <w:color w:val="0D0D0D"/>
          <w:sz w:val="20"/>
          <w:lang w:eastAsia="zh-TW"/>
        </w:rPr>
        <w:t xml:space="preserve">we provide our view on the </w:t>
      </w:r>
      <w:r w:rsidR="005F4CA3" w:rsidRPr="005F4CA3">
        <w:rPr>
          <w:rFonts w:ascii="Calibri" w:eastAsia="新細明體" w:hAnsi="Calibri" w:cs="Calibri"/>
          <w:color w:val="0D0D0D"/>
          <w:sz w:val="20"/>
          <w:lang w:eastAsia="zh-TW"/>
        </w:rPr>
        <w:t>Support of EN-DC with LTE-NR coexistence in UL sharing from UE perspective</w:t>
      </w:r>
      <w:r w:rsidR="00902288">
        <w:rPr>
          <w:rFonts w:ascii="Calibri" w:eastAsia="新細明體" w:hAnsi="Calibri" w:cs="Calibri"/>
          <w:color w:val="0D0D0D"/>
          <w:sz w:val="20"/>
          <w:lang w:eastAsia="zh-TW"/>
        </w:rPr>
        <w:t>. We have the following proposals:</w:t>
      </w:r>
    </w:p>
    <w:p w:rsidR="00CB5FB6" w:rsidRPr="008D70C6" w:rsidRDefault="008D70C6" w:rsidP="005F4CA3">
      <w:pPr>
        <w:jc w:val="both"/>
        <w:rPr>
          <w:rFonts w:eastAsia="SimSun" w:cs="Times New Roman"/>
          <w:b/>
          <w:i/>
          <w:lang w:eastAsia="x-none"/>
        </w:rPr>
      </w:pPr>
      <w:r w:rsidRPr="00BD6CC4">
        <w:rPr>
          <w:rFonts w:eastAsia="SimSun" w:cs="Times New Roman"/>
          <w:b/>
          <w:i/>
          <w:lang w:eastAsia="x-none"/>
        </w:rPr>
        <w:t xml:space="preserve">Proposal: </w:t>
      </w:r>
      <w:r w:rsidR="005F4CA3">
        <w:rPr>
          <w:b/>
          <w:bCs/>
        </w:rPr>
        <w:t>Introduce a new feature for the signaling of supported multiplexing scheme(s) for UpLink sharing from UE perspective</w:t>
      </w:r>
    </w:p>
    <w:p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5F4CA3" w:rsidRDefault="005F4CA3" w:rsidP="005F4CA3">
      <w:pPr>
        <w:pStyle w:val="1"/>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[1] </w:t>
      </w:r>
      <w:r w:rsidRPr="005F4CA3">
        <w:rPr>
          <w:rFonts w:asciiTheme="minorHAnsi" w:eastAsiaTheme="minorEastAsia" w:hAnsiTheme="minorHAnsi" w:cstheme="minorBidi"/>
          <w:sz w:val="22"/>
          <w:szCs w:val="22"/>
          <w:lang w:val="en-US" w:eastAsia="zh-TW"/>
        </w:rPr>
        <w:t>R</w:t>
      </w:r>
      <w:r>
        <w:rPr>
          <w:rFonts w:asciiTheme="minorHAnsi" w:eastAsiaTheme="minorEastAsia" w:hAnsiTheme="minorHAnsi" w:cstheme="minorBidi"/>
          <w:sz w:val="22"/>
          <w:szCs w:val="22"/>
          <w:lang w:val="en-US" w:eastAsia="zh-TW"/>
        </w:rPr>
        <w:t>P</w:t>
      </w:r>
      <w:r w:rsidRPr="005F4CA3">
        <w:rPr>
          <w:rFonts w:asciiTheme="minorHAnsi" w:eastAsiaTheme="minorEastAsia" w:hAnsiTheme="minorHAnsi" w:cstheme="minorBidi"/>
          <w:sz w:val="22"/>
          <w:szCs w:val="22"/>
          <w:lang w:val="en-US" w:eastAsia="zh-TW"/>
        </w:rPr>
        <w:t>-18056</w:t>
      </w:r>
      <w:r>
        <w:rPr>
          <w:rFonts w:asciiTheme="minorHAnsi" w:eastAsiaTheme="minorEastAsia" w:hAnsiTheme="minorHAnsi" w:cstheme="minorBidi"/>
          <w:sz w:val="22"/>
          <w:szCs w:val="22"/>
          <w:lang w:val="en-US" w:eastAsia="zh-TW"/>
        </w:rPr>
        <w:t>0</w:t>
      </w:r>
      <w:r w:rsidRPr="005F4CA3">
        <w:rPr>
          <w:rFonts w:asciiTheme="minorHAnsi" w:eastAsiaTheme="minorEastAsia" w:hAnsiTheme="minorHAnsi" w:cstheme="minorBidi"/>
          <w:sz w:val="22"/>
          <w:szCs w:val="22"/>
          <w:lang w:val="en-US" w:eastAsia="zh-TW"/>
        </w:rPr>
        <w:t>, “WF on RAN4 work plan for uplink sharing from UE respective (ULSUP)”</w:t>
      </w:r>
    </w:p>
    <w:p w:rsidR="005F4CA3" w:rsidRDefault="005F4CA3" w:rsidP="005F4CA3">
      <w:pPr>
        <w:pStyle w:val="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2</w:t>
      </w:r>
      <w:r w:rsidRPr="000A0C20">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 xml:space="preserve"> </w:t>
      </w:r>
      <w:r w:rsidRPr="000A0C20">
        <w:rPr>
          <w:rFonts w:asciiTheme="minorHAnsi" w:eastAsiaTheme="minorEastAsia" w:hAnsiTheme="minorHAnsi" w:cstheme="minorBidi"/>
          <w:sz w:val="22"/>
          <w:szCs w:val="22"/>
          <w:lang w:val="en-US" w:eastAsia="zh-TW"/>
        </w:rPr>
        <w:t>R4-180</w:t>
      </w:r>
      <w:r>
        <w:rPr>
          <w:rFonts w:asciiTheme="minorHAnsi" w:eastAsiaTheme="minorEastAsia" w:hAnsiTheme="minorHAnsi" w:cstheme="minorBidi"/>
          <w:sz w:val="22"/>
          <w:szCs w:val="22"/>
          <w:lang w:val="en-US" w:eastAsia="zh-TW"/>
        </w:rPr>
        <w:t>3564, “Updated UE feature list”</w:t>
      </w:r>
    </w:p>
    <w:sectPr w:rsidR="005F4CA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F92" w:rsidRDefault="00680F92" w:rsidP="008B46F2">
      <w:pPr>
        <w:spacing w:after="0" w:line="240" w:lineRule="auto"/>
      </w:pPr>
      <w:r>
        <w:separator/>
      </w:r>
    </w:p>
  </w:endnote>
  <w:endnote w:type="continuationSeparator" w:id="0">
    <w:p w:rsidR="00680F92" w:rsidRDefault="00680F9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F92" w:rsidRDefault="00680F92" w:rsidP="008B46F2">
      <w:pPr>
        <w:spacing w:after="0" w:line="240" w:lineRule="auto"/>
      </w:pPr>
      <w:r>
        <w:separator/>
      </w:r>
    </w:p>
  </w:footnote>
  <w:footnote w:type="continuationSeparator" w:id="0">
    <w:p w:rsidR="00680F92" w:rsidRDefault="00680F9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E52F3"/>
    <w:multiLevelType w:val="hybridMultilevel"/>
    <w:tmpl w:val="2E06E5A2"/>
    <w:lvl w:ilvl="0" w:tplc="4A2CDAB6">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7"/>
  </w:num>
  <w:num w:numId="3">
    <w:abstractNumId w:val="27"/>
  </w:num>
  <w:num w:numId="4">
    <w:abstractNumId w:val="10"/>
  </w:num>
  <w:num w:numId="5">
    <w:abstractNumId w:val="40"/>
  </w:num>
  <w:num w:numId="6">
    <w:abstractNumId w:val="26"/>
  </w:num>
  <w:num w:numId="7">
    <w:abstractNumId w:val="32"/>
  </w:num>
  <w:num w:numId="8">
    <w:abstractNumId w:val="8"/>
  </w:num>
  <w:num w:numId="9">
    <w:abstractNumId w:val="18"/>
  </w:num>
  <w:num w:numId="10">
    <w:abstractNumId w:val="14"/>
  </w:num>
  <w:num w:numId="11">
    <w:abstractNumId w:val="12"/>
  </w:num>
  <w:num w:numId="12">
    <w:abstractNumId w:val="2"/>
  </w:num>
  <w:num w:numId="13">
    <w:abstractNumId w:val="9"/>
  </w:num>
  <w:num w:numId="14">
    <w:abstractNumId w:val="0"/>
  </w:num>
  <w:num w:numId="15">
    <w:abstractNumId w:val="17"/>
  </w:num>
  <w:num w:numId="16">
    <w:abstractNumId w:val="42"/>
  </w:num>
  <w:num w:numId="17">
    <w:abstractNumId w:val="25"/>
  </w:num>
  <w:num w:numId="18">
    <w:abstractNumId w:val="28"/>
  </w:num>
  <w:num w:numId="19">
    <w:abstractNumId w:val="16"/>
  </w:num>
  <w:num w:numId="20">
    <w:abstractNumId w:val="11"/>
  </w:num>
  <w:num w:numId="21">
    <w:abstractNumId w:val="35"/>
  </w:num>
  <w:num w:numId="22">
    <w:abstractNumId w:val="24"/>
  </w:num>
  <w:num w:numId="23">
    <w:abstractNumId w:val="43"/>
  </w:num>
  <w:num w:numId="24">
    <w:abstractNumId w:val="5"/>
  </w:num>
  <w:num w:numId="25">
    <w:abstractNumId w:val="34"/>
  </w:num>
  <w:num w:numId="26">
    <w:abstractNumId w:val="31"/>
  </w:num>
  <w:num w:numId="27">
    <w:abstractNumId w:val="15"/>
  </w:num>
  <w:num w:numId="28">
    <w:abstractNumId w:val="4"/>
  </w:num>
  <w:num w:numId="29">
    <w:abstractNumId w:val="21"/>
  </w:num>
  <w:num w:numId="30">
    <w:abstractNumId w:val="36"/>
  </w:num>
  <w:num w:numId="31">
    <w:abstractNumId w:val="30"/>
  </w:num>
  <w:num w:numId="32">
    <w:abstractNumId w:val="20"/>
  </w:num>
  <w:num w:numId="33">
    <w:abstractNumId w:val="41"/>
  </w:num>
  <w:num w:numId="34">
    <w:abstractNumId w:val="6"/>
  </w:num>
  <w:num w:numId="35">
    <w:abstractNumId w:val="45"/>
  </w:num>
  <w:num w:numId="36">
    <w:abstractNumId w:val="29"/>
  </w:num>
  <w:num w:numId="37">
    <w:abstractNumId w:val="19"/>
  </w:num>
  <w:num w:numId="38">
    <w:abstractNumId w:val="22"/>
  </w:num>
  <w:num w:numId="39">
    <w:abstractNumId w:val="7"/>
  </w:num>
  <w:num w:numId="40">
    <w:abstractNumId w:val="13"/>
  </w:num>
  <w:num w:numId="41">
    <w:abstractNumId w:val="1"/>
  </w:num>
  <w:num w:numId="42">
    <w:abstractNumId w:val="33"/>
  </w:num>
  <w:num w:numId="43">
    <w:abstractNumId w:val="44"/>
  </w:num>
  <w:num w:numId="44">
    <w:abstractNumId w:val="23"/>
  </w:num>
  <w:num w:numId="45">
    <w:abstractNumId w:val="3"/>
  </w:num>
  <w:num w:numId="46">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647"/>
    <w:rsid w:val="00003D39"/>
    <w:rsid w:val="00005F70"/>
    <w:rsid w:val="00005F93"/>
    <w:rsid w:val="000124A6"/>
    <w:rsid w:val="000200EB"/>
    <w:rsid w:val="00025E58"/>
    <w:rsid w:val="00040AE5"/>
    <w:rsid w:val="00045178"/>
    <w:rsid w:val="0004581B"/>
    <w:rsid w:val="00052C73"/>
    <w:rsid w:val="00053C66"/>
    <w:rsid w:val="00055B1C"/>
    <w:rsid w:val="00056059"/>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76F"/>
    <w:rsid w:val="00341C80"/>
    <w:rsid w:val="00342262"/>
    <w:rsid w:val="0034272F"/>
    <w:rsid w:val="00355C00"/>
    <w:rsid w:val="003572BA"/>
    <w:rsid w:val="00361114"/>
    <w:rsid w:val="003621EF"/>
    <w:rsid w:val="00370C57"/>
    <w:rsid w:val="003727B8"/>
    <w:rsid w:val="003732D8"/>
    <w:rsid w:val="003765A0"/>
    <w:rsid w:val="003779CD"/>
    <w:rsid w:val="00384A15"/>
    <w:rsid w:val="00390F86"/>
    <w:rsid w:val="00394E39"/>
    <w:rsid w:val="00395315"/>
    <w:rsid w:val="003A0395"/>
    <w:rsid w:val="003A4FB1"/>
    <w:rsid w:val="003A6A7C"/>
    <w:rsid w:val="003B05A8"/>
    <w:rsid w:val="003B1631"/>
    <w:rsid w:val="003B1704"/>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337EE"/>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5F4CA3"/>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0F92"/>
    <w:rsid w:val="00685F43"/>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20AB"/>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123CF"/>
    <w:rsid w:val="008132D2"/>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5174"/>
    <w:rsid w:val="0089738D"/>
    <w:rsid w:val="008A4FC6"/>
    <w:rsid w:val="008A55AB"/>
    <w:rsid w:val="008B46F2"/>
    <w:rsid w:val="008B6D18"/>
    <w:rsid w:val="008B6FAF"/>
    <w:rsid w:val="008C0DCB"/>
    <w:rsid w:val="008C17FB"/>
    <w:rsid w:val="008C1AB9"/>
    <w:rsid w:val="008C39E7"/>
    <w:rsid w:val="008C77BE"/>
    <w:rsid w:val="008D096D"/>
    <w:rsid w:val="008D15E8"/>
    <w:rsid w:val="008D2B06"/>
    <w:rsid w:val="008D4ADB"/>
    <w:rsid w:val="008D6865"/>
    <w:rsid w:val="008D6910"/>
    <w:rsid w:val="008D70C6"/>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26E8"/>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7AB5"/>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8A"/>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24B8"/>
    <w:rsid w:val="00CF4055"/>
    <w:rsid w:val="00CF7ED8"/>
    <w:rsid w:val="00D01813"/>
    <w:rsid w:val="00D04252"/>
    <w:rsid w:val="00D0599B"/>
    <w:rsid w:val="00D070E7"/>
    <w:rsid w:val="00D1653D"/>
    <w:rsid w:val="00D206FE"/>
    <w:rsid w:val="00D20DFD"/>
    <w:rsid w:val="00D220F8"/>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6722B"/>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38AB"/>
    <w:rsid w:val="00E142D2"/>
    <w:rsid w:val="00E17455"/>
    <w:rsid w:val="00E22059"/>
    <w:rsid w:val="00E222DB"/>
    <w:rsid w:val="00E23F4C"/>
    <w:rsid w:val="00E258E8"/>
    <w:rsid w:val="00E2710F"/>
    <w:rsid w:val="00E305AE"/>
    <w:rsid w:val="00E32805"/>
    <w:rsid w:val="00E335C8"/>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214"/>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17601">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67531602">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42795220">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2994446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1450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34C-C258-4B7E-91E2-54739DD0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6</cp:revision>
  <dcterms:created xsi:type="dcterms:W3CDTF">2018-04-05T07:41:00Z</dcterms:created>
  <dcterms:modified xsi:type="dcterms:W3CDTF">2018-04-05T08:42:00Z</dcterms:modified>
</cp:coreProperties>
</file>